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649" w:rsidRDefault="002B7649" w:rsidP="00F139F8">
      <w:pPr>
        <w:pStyle w:val="a3"/>
        <w:spacing w:before="68"/>
        <w:jc w:val="center"/>
      </w:pPr>
      <w:r>
        <w:t>Анализ</w:t>
      </w:r>
    </w:p>
    <w:p w:rsidR="002B7649" w:rsidRDefault="002B7649" w:rsidP="00F139F8">
      <w:pPr>
        <w:pStyle w:val="a3"/>
        <w:spacing w:before="2"/>
        <w:ind w:right="-19" w:firstLine="78"/>
        <w:jc w:val="center"/>
      </w:pP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63"/>
        </w:rPr>
        <w:t xml:space="preserve"> </w:t>
      </w:r>
      <w:r w:rsidR="005B135E">
        <w:rPr>
          <w:w w:val="95"/>
        </w:rPr>
        <w:t>развитию добровольчества (</w:t>
      </w:r>
      <w:proofErr w:type="gramStart"/>
      <w:r w:rsidR="005B135E">
        <w:rPr>
          <w:w w:val="95"/>
        </w:rPr>
        <w:t>во</w:t>
      </w:r>
      <w:r w:rsidR="00F53799">
        <w:rPr>
          <w:w w:val="95"/>
        </w:rPr>
        <w:t>л</w:t>
      </w:r>
      <w:r w:rsidR="005B135E">
        <w:rPr>
          <w:w w:val="95"/>
        </w:rPr>
        <w:t xml:space="preserve">онтёрства) </w:t>
      </w:r>
      <w:r w:rsidR="005B135E">
        <w:rPr>
          <w:spacing w:val="-64"/>
          <w:w w:val="95"/>
        </w:rPr>
        <w:t xml:space="preserve"> </w:t>
      </w:r>
      <w:r w:rsidR="00F139F8">
        <w:rPr>
          <w:spacing w:val="-64"/>
          <w:w w:val="95"/>
        </w:rPr>
        <w:t xml:space="preserve"> </w:t>
      </w:r>
      <w:proofErr w:type="gramEnd"/>
      <w:r w:rsidR="00F139F8">
        <w:rPr>
          <w:spacing w:val="-64"/>
          <w:w w:val="95"/>
        </w:rPr>
        <w:t xml:space="preserve"> </w:t>
      </w:r>
      <w:r>
        <w:t>в х</w:t>
      </w:r>
      <w:r>
        <w:rPr>
          <w:spacing w:val="1"/>
        </w:rPr>
        <w:t xml:space="preserve"> </w:t>
      </w:r>
      <w:r>
        <w:t>Новоалександровско</w:t>
      </w:r>
      <w:r w:rsidR="00F53799">
        <w:t>м</w:t>
      </w:r>
      <w:r>
        <w:t xml:space="preserve"> городско</w:t>
      </w:r>
      <w:r w:rsidR="00F53799">
        <w:t>м</w:t>
      </w:r>
      <w:r>
        <w:rPr>
          <w:spacing w:val="19"/>
        </w:rPr>
        <w:t xml:space="preserve"> </w:t>
      </w:r>
      <w:r>
        <w:t>округ</w:t>
      </w:r>
      <w:r w:rsidR="00F53799">
        <w:t>е</w:t>
      </w:r>
      <w:r w:rsidR="00F139F8">
        <w:t xml:space="preserve"> Ставропольского края</w:t>
      </w: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/>
      </w:pPr>
    </w:p>
    <w:p w:rsidR="005B135E" w:rsidRDefault="005B135E" w:rsidP="005B135E">
      <w:pPr>
        <w:pStyle w:val="a3"/>
        <w:spacing w:line="242" w:lineRule="auto"/>
        <w:ind w:right="127" w:hanging="3"/>
      </w:pPr>
      <w:r>
        <w:tab/>
      </w:r>
      <w:r>
        <w:tab/>
        <w:t xml:space="preserve">В настоящее время одним из основных направлений эффективной государственной молодежной политики в Российской Федерации становится волонтерское движение. </w:t>
      </w: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>На территории Новоалександровского городского округа работает 30 волонтёрских отрядов. Среди них «Волонтёры Победы», «Волонтёры медики», «Волонтёры культуры», «Эковолнтёры», «Доброволец», «Горячие сердца», широко развито социальное волонтёрство.</w:t>
      </w:r>
    </w:p>
    <w:p w:rsidR="005B135E" w:rsidRDefault="00723E32" w:rsidP="00723E32">
      <w:pPr>
        <w:pStyle w:val="a3"/>
        <w:tabs>
          <w:tab w:val="left" w:pos="0"/>
        </w:tabs>
        <w:spacing w:line="242" w:lineRule="auto"/>
        <w:ind w:right="127" w:hanging="3"/>
      </w:pPr>
      <w:r>
        <w:tab/>
      </w:r>
      <w:r>
        <w:tab/>
      </w:r>
      <w:r w:rsidR="005B135E">
        <w:t>Команда "Волонтеров Победы" в Новоалександровском городском округе достигла порядка 300 человек, в округе имеется свой штаб. Волонтёры горят желанием и готовы работать в движении. Кто-то приходит и готов участвовать в каких-то конкретных мероприятиях, а кто-то участвует во всех событиях. Это такие мероприятия как интерактивный квест "Блокадный Ленинград", акция "Успей сказать "спасибо!" по оказанию адресной помощи ветеранам Великой Отечественной войны, вдовам, труженикам и</w:t>
      </w:r>
      <w:r w:rsidR="00F53799">
        <w:t xml:space="preserve"> воинам локальных войн, другие </w:t>
      </w:r>
      <w:r w:rsidR="005B135E">
        <w:t>акции и мероприятия. Волонтёры проводят благоустройство памятных мест и воинских захоронений.</w:t>
      </w: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 xml:space="preserve"> </w:t>
      </w:r>
      <w:r w:rsidR="00F53799">
        <w:t xml:space="preserve">          </w:t>
      </w:r>
      <w:r>
        <w:t>В период пандемии в Новоалександровском городском округе усилиями волонтеров-медиков проводится очень много работы. Волонтеры работают операторами горячей линии, принимают участие в оказании помощи пожилым людям, активно помогают медицинскому персоналу. Благодаря старанию и желанию всегда готовы прийти на помощь в сложное время пандемии. Волонтёрами-медиками организована пропагандистская работа. Граждане готовы слушать лекции по психологии, ведь у многих присутствуют проблемы различного направления и не всегда есть возможность прийти к специалисту, а режим онлайн предоставляет практически каждому желающему такую возможность. Более того, популярность получила правовая помощь онлайн. Теперь у нас есть регулярные прямые эфиры по популяризации донорства, профилактике гриппа, ОРВИ и ряд других направлений, также активно функционирует горячая линия для пожилых людей в рамках проекта «65+».</w:t>
      </w:r>
    </w:p>
    <w:p w:rsidR="005B135E" w:rsidRDefault="00F53799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 xml:space="preserve">          </w:t>
      </w:r>
      <w:r w:rsidR="005B135E">
        <w:t>В рамках акции «Мы вместе» волонтёры-медики округа реализует социально значимый проект «Вам, родные», в ходе которого были доставлены праздничные продуктовые корзины  ветеранам- жителям нашего района.</w:t>
      </w:r>
    </w:p>
    <w:p w:rsidR="005B135E" w:rsidRDefault="00F53799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 xml:space="preserve">        </w:t>
      </w:r>
      <w:r w:rsidR="005B135E">
        <w:t xml:space="preserve">Сегодня в Новоалександровском городском округе есть волонтеры культуры. Движение развивается довольно давно, ни одно крупное массовое мероприятие не обходится без участия волонтёров. Невзирая на карантинные ограничения, волонтеры распределяют и доставляют продукты питания малоимущим, одиноким, кормят бездомных, организуют первичную медицинскую помощь и многое другое. Прежде всего необходимо обучение добровольцев азам правовых, психологических знаний, воспитанию деловых качеств, находчивости в непредвиденных жизненных обстоятельствах. </w:t>
      </w: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  <w:proofErr w:type="spellStart"/>
      <w:r>
        <w:lastRenderedPageBreak/>
        <w:t>Эковолонтёрами</w:t>
      </w:r>
      <w:proofErr w:type="spellEnd"/>
      <w:r>
        <w:t xml:space="preserve"> заложен Сад памяти на территории Новоалександровского городского округа.  В прошлом году высажено 500 саженцев, а в 2021 году ещё 250. Волонтёры ухаживают за ними, а также обработали, подкормили и полили молодые деревья. Запланированы осенние и весенние </w:t>
      </w:r>
      <w:proofErr w:type="spellStart"/>
      <w:r>
        <w:t>уходовые</w:t>
      </w:r>
      <w:proofErr w:type="spellEnd"/>
      <w:r>
        <w:t xml:space="preserve"> работы — рыхление, обрезка, подкормка. Кроме того, наметили, в каком количестве и порядке высаживать новые деревья. Уход за саженцами в Саду памяти прошёл в рамках всероссийского </w:t>
      </w:r>
      <w:proofErr w:type="spellStart"/>
      <w:r>
        <w:t>экомарафона</w:t>
      </w:r>
      <w:proofErr w:type="spellEnd"/>
      <w:r>
        <w:t xml:space="preserve"> «Дни зеленых действий». Ранее в рамках марафона волонтёры провели масштабную уборку на территории округа.</w:t>
      </w:r>
    </w:p>
    <w:p w:rsidR="005B135E" w:rsidRDefault="00F53799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 xml:space="preserve">              </w:t>
      </w:r>
      <w:r w:rsidR="005B135E">
        <w:t>Особенно востребована помощь волонтеров в сфере социального обслуживания. Они оказывают помощь пожилым в быту, проводят небольшие ремонтные работы, выполняют сезонные работы на приусадебных участках, придомовой территории, оказывают психолого-педагогическое сопровождение. В течение 2020 года в этой работе приняли участие более 600 волонтеров, оказана помощь гражданам пожилого возраста.</w:t>
      </w:r>
    </w:p>
    <w:p w:rsidR="005B135E" w:rsidRDefault="00F53799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 xml:space="preserve">            </w:t>
      </w:r>
      <w:r w:rsidR="005B135E">
        <w:t>Также волонтерскими отрядами организуются поздравления пожилых людей с годовщинами Победы в Великой Отечественной войне, Днем защитника Отечества, Международным женским днем, Международным днем пожилого человека.</w:t>
      </w:r>
    </w:p>
    <w:p w:rsidR="005B135E" w:rsidRDefault="00F53799" w:rsidP="005B135E">
      <w:pPr>
        <w:pStyle w:val="a3"/>
        <w:tabs>
          <w:tab w:val="left" w:pos="9493"/>
        </w:tabs>
        <w:spacing w:line="242" w:lineRule="auto"/>
        <w:ind w:right="127" w:hanging="3"/>
      </w:pPr>
      <w:r>
        <w:t xml:space="preserve">          </w:t>
      </w:r>
      <w:r w:rsidR="005B135E">
        <w:t>В основном участники волонтерского движения - молодежь в возрасте от 14 до 35лет, однако в последнее время ряды волонтеров все чаще и чаще пополняются людьми старшего поколения.</w:t>
      </w: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5B135E" w:rsidRDefault="005B135E" w:rsidP="005B135E">
      <w:pPr>
        <w:pStyle w:val="a3"/>
        <w:tabs>
          <w:tab w:val="left" w:pos="9493"/>
        </w:tabs>
        <w:spacing w:line="242" w:lineRule="auto"/>
        <w:ind w:right="127" w:hanging="3"/>
      </w:pPr>
    </w:p>
    <w:p w:rsidR="00D6506C" w:rsidRDefault="00D6506C" w:rsidP="00D6506C">
      <w:pPr>
        <w:pStyle w:val="a3"/>
        <w:tabs>
          <w:tab w:val="left" w:pos="9493"/>
        </w:tabs>
        <w:spacing w:line="242" w:lineRule="auto"/>
        <w:ind w:right="127" w:hanging="3"/>
      </w:pPr>
    </w:p>
    <w:p w:rsidR="00D6506C" w:rsidRDefault="00D6506C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6F33C8" w:rsidRDefault="006F33C8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</w:p>
    <w:p w:rsidR="000904B6" w:rsidRDefault="000904B6" w:rsidP="00D6506C">
      <w:pPr>
        <w:pStyle w:val="a3"/>
        <w:tabs>
          <w:tab w:val="left" w:pos="9493"/>
        </w:tabs>
        <w:spacing w:line="242" w:lineRule="auto"/>
        <w:ind w:right="127" w:hanging="3"/>
        <w:rPr>
          <w:sz w:val="27"/>
        </w:rPr>
      </w:pPr>
      <w:bookmarkStart w:id="0" w:name="_GoBack"/>
      <w:bookmarkEnd w:id="0"/>
    </w:p>
    <w:sectPr w:rsidR="000904B6" w:rsidSect="00F53799">
      <w:type w:val="continuous"/>
      <w:pgSz w:w="11900" w:h="16820"/>
      <w:pgMar w:top="1040" w:right="640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966C5"/>
    <w:multiLevelType w:val="hybridMultilevel"/>
    <w:tmpl w:val="BEF6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01A59"/>
    <w:multiLevelType w:val="multilevel"/>
    <w:tmpl w:val="11B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24585"/>
    <w:multiLevelType w:val="hybridMultilevel"/>
    <w:tmpl w:val="8B14F1E6"/>
    <w:lvl w:ilvl="0" w:tplc="CCAC5CC8">
      <w:numFmt w:val="bullet"/>
      <w:lvlText w:val="-"/>
      <w:lvlJc w:val="left"/>
      <w:pPr>
        <w:ind w:left="222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278F0CE">
      <w:numFmt w:val="bullet"/>
      <w:lvlText w:val="•"/>
      <w:lvlJc w:val="left"/>
      <w:pPr>
        <w:ind w:left="1196" w:hanging="286"/>
      </w:pPr>
      <w:rPr>
        <w:rFonts w:hint="default"/>
        <w:lang w:val="ru-RU" w:eastAsia="en-US" w:bidi="ar-SA"/>
      </w:rPr>
    </w:lvl>
    <w:lvl w:ilvl="2" w:tplc="BAB2BACA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82E057DC">
      <w:numFmt w:val="bullet"/>
      <w:lvlText w:val="•"/>
      <w:lvlJc w:val="left"/>
      <w:pPr>
        <w:ind w:left="3149" w:hanging="286"/>
      </w:pPr>
      <w:rPr>
        <w:rFonts w:hint="default"/>
        <w:lang w:val="ru-RU" w:eastAsia="en-US" w:bidi="ar-SA"/>
      </w:rPr>
    </w:lvl>
    <w:lvl w:ilvl="4" w:tplc="01B82680">
      <w:numFmt w:val="bullet"/>
      <w:lvlText w:val="•"/>
      <w:lvlJc w:val="left"/>
      <w:pPr>
        <w:ind w:left="4126" w:hanging="286"/>
      </w:pPr>
      <w:rPr>
        <w:rFonts w:hint="default"/>
        <w:lang w:val="ru-RU" w:eastAsia="en-US" w:bidi="ar-SA"/>
      </w:rPr>
    </w:lvl>
    <w:lvl w:ilvl="5" w:tplc="66900A2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6" w:tplc="A2621AE2">
      <w:numFmt w:val="bullet"/>
      <w:lvlText w:val="•"/>
      <w:lvlJc w:val="left"/>
      <w:pPr>
        <w:ind w:left="6079" w:hanging="286"/>
      </w:pPr>
      <w:rPr>
        <w:rFonts w:hint="default"/>
        <w:lang w:val="ru-RU" w:eastAsia="en-US" w:bidi="ar-SA"/>
      </w:rPr>
    </w:lvl>
    <w:lvl w:ilvl="7" w:tplc="95FEC5A6">
      <w:numFmt w:val="bullet"/>
      <w:lvlText w:val="•"/>
      <w:lvlJc w:val="left"/>
      <w:pPr>
        <w:ind w:left="7056" w:hanging="286"/>
      </w:pPr>
      <w:rPr>
        <w:rFonts w:hint="default"/>
        <w:lang w:val="ru-RU" w:eastAsia="en-US" w:bidi="ar-SA"/>
      </w:rPr>
    </w:lvl>
    <w:lvl w:ilvl="8" w:tplc="FE22E706">
      <w:numFmt w:val="bullet"/>
      <w:lvlText w:val="•"/>
      <w:lvlJc w:val="left"/>
      <w:pPr>
        <w:ind w:left="8033" w:hanging="28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6F39"/>
    <w:rsid w:val="000904B6"/>
    <w:rsid w:val="000B4DC0"/>
    <w:rsid w:val="00117905"/>
    <w:rsid w:val="002B7649"/>
    <w:rsid w:val="003F2566"/>
    <w:rsid w:val="005B135E"/>
    <w:rsid w:val="006F33C8"/>
    <w:rsid w:val="00723E32"/>
    <w:rsid w:val="00836F39"/>
    <w:rsid w:val="0086510E"/>
    <w:rsid w:val="0089223E"/>
    <w:rsid w:val="00955D5D"/>
    <w:rsid w:val="00BC2E06"/>
    <w:rsid w:val="00D6506C"/>
    <w:rsid w:val="00F1174F"/>
    <w:rsid w:val="00F139F8"/>
    <w:rsid w:val="00F53799"/>
    <w:rsid w:val="00F7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44EFB7-83C3-4680-806C-E931DA5D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59"/>
    <w:rsid w:val="00955D5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F70EC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C2E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Пользователь</cp:lastModifiedBy>
  <cp:revision>14</cp:revision>
  <cp:lastPrinted>2022-08-08T13:19:00Z</cp:lastPrinted>
  <dcterms:created xsi:type="dcterms:W3CDTF">2022-07-29T11:58:00Z</dcterms:created>
  <dcterms:modified xsi:type="dcterms:W3CDTF">2022-08-19T21:26:00Z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NAPS2</vt:lpwstr>
  </property>
  <property fmtid="{D5CDD505-2E9C-101B-9397-08002B2CF9AE}" pid="4" name="LastSaved">
    <vt:filetime>2022-07-29T00:00:00Z</vt:filetime>
  </property>
</Properties>
</file>